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C" w:rsidRDefault="000913B4">
      <w:r>
        <w:rPr>
          <w:noProof/>
        </w:rPr>
        <w:drawing>
          <wp:inline distT="0" distB="0" distL="0" distR="0" wp14:anchorId="5CF72783" wp14:editId="10B3C048">
            <wp:extent cx="6120000" cy="1375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375247"/>
                    </a:xfrm>
                    <a:prstGeom prst="rect">
                      <a:avLst/>
                    </a:prstGeom>
                  </pic:spPr>
                </pic:pic>
              </a:graphicData>
            </a:graphic>
          </wp:inline>
        </w:drawing>
      </w:r>
    </w:p>
    <w:p w:rsidR="007942B4" w:rsidRDefault="007942B4"/>
    <w:tbl>
      <w:tblPr>
        <w:tblStyle w:val="TableGrid"/>
        <w:tblW w:w="0" w:type="auto"/>
        <w:tblLook w:val="04A0" w:firstRow="1" w:lastRow="0" w:firstColumn="1" w:lastColumn="0" w:noHBand="0" w:noVBand="1"/>
      </w:tblPr>
      <w:tblGrid>
        <w:gridCol w:w="4927"/>
        <w:gridCol w:w="4927"/>
      </w:tblGrid>
      <w:tr w:rsidR="007942B4" w:rsidTr="00CF016C">
        <w:trPr>
          <w:trHeight w:val="1361"/>
        </w:trPr>
        <w:tc>
          <w:tcPr>
            <w:tcW w:w="4927" w:type="dxa"/>
            <w:vAlign w:val="center"/>
          </w:tcPr>
          <w:p w:rsidR="00E97604" w:rsidRPr="00E97604" w:rsidRDefault="00CF016C" w:rsidP="00CF016C">
            <w:pPr>
              <w:jc w:val="center"/>
              <w:rPr>
                <w:rFonts w:ascii="Arial" w:hAnsi="Arial" w:cs="Arial"/>
                <w:b/>
                <w:sz w:val="28"/>
                <w:szCs w:val="28"/>
              </w:rPr>
            </w:pPr>
            <w:r>
              <w:rPr>
                <w:rFonts w:ascii="Arial" w:hAnsi="Arial" w:cs="Arial"/>
                <w:b/>
                <w:sz w:val="28"/>
                <w:szCs w:val="28"/>
              </w:rPr>
              <w:t>Ekonomikas valsts 1</w:t>
            </w:r>
            <w:r w:rsidR="009577B0">
              <w:rPr>
                <w:rFonts w:ascii="Arial" w:hAnsi="Arial" w:cs="Arial"/>
                <w:b/>
                <w:sz w:val="28"/>
                <w:szCs w:val="28"/>
              </w:rPr>
              <w:t>9</w:t>
            </w:r>
            <w:r>
              <w:rPr>
                <w:rFonts w:ascii="Arial" w:hAnsi="Arial" w:cs="Arial"/>
                <w:b/>
                <w:sz w:val="28"/>
                <w:szCs w:val="28"/>
              </w:rPr>
              <w:t>. olimpiāde</w:t>
            </w:r>
            <w:r>
              <w:rPr>
                <w:rFonts w:ascii="Arial" w:hAnsi="Arial" w:cs="Arial"/>
                <w:b/>
                <w:sz w:val="28"/>
                <w:szCs w:val="28"/>
              </w:rPr>
              <w:br/>
              <w:t>3.posms</w:t>
            </w:r>
            <w:r>
              <w:rPr>
                <w:rFonts w:ascii="Arial" w:hAnsi="Arial" w:cs="Arial"/>
                <w:b/>
                <w:sz w:val="28"/>
                <w:szCs w:val="28"/>
              </w:rPr>
              <w:br/>
            </w:r>
            <w:r w:rsidR="008A6243">
              <w:rPr>
                <w:rFonts w:ascii="Arial" w:hAnsi="Arial" w:cs="Arial"/>
                <w:b/>
                <w:sz w:val="28"/>
                <w:szCs w:val="28"/>
              </w:rPr>
              <w:t>Atbildes</w:t>
            </w:r>
          </w:p>
          <w:p w:rsidR="007942B4" w:rsidRPr="00E97604" w:rsidRDefault="007942B4" w:rsidP="00CF016C">
            <w:pPr>
              <w:jc w:val="center"/>
              <w:rPr>
                <w:rFonts w:ascii="Arial" w:hAnsi="Arial" w:cs="Arial"/>
              </w:rPr>
            </w:pPr>
            <w:r w:rsidRPr="00E97604">
              <w:rPr>
                <w:rFonts w:ascii="Arial" w:hAnsi="Arial" w:cs="Arial"/>
              </w:rPr>
              <w:t>201</w:t>
            </w:r>
            <w:r w:rsidR="009577B0">
              <w:rPr>
                <w:rFonts w:ascii="Arial" w:hAnsi="Arial" w:cs="Arial"/>
              </w:rPr>
              <w:t>8</w:t>
            </w:r>
            <w:r w:rsidRPr="00E97604">
              <w:rPr>
                <w:rFonts w:ascii="Arial" w:hAnsi="Arial" w:cs="Arial"/>
              </w:rPr>
              <w:t xml:space="preserve">.gada </w:t>
            </w:r>
            <w:r w:rsidR="009577B0">
              <w:rPr>
                <w:rFonts w:ascii="Arial" w:hAnsi="Arial" w:cs="Arial"/>
              </w:rPr>
              <w:t>7</w:t>
            </w:r>
            <w:r w:rsidRPr="00E97604">
              <w:rPr>
                <w:rFonts w:ascii="Arial" w:hAnsi="Arial" w:cs="Arial"/>
              </w:rPr>
              <w:t>.martā</w:t>
            </w:r>
          </w:p>
        </w:tc>
        <w:tc>
          <w:tcPr>
            <w:tcW w:w="4927" w:type="dxa"/>
          </w:tcPr>
          <w:p w:rsidR="007942B4" w:rsidRPr="007942B4" w:rsidRDefault="007942B4" w:rsidP="00CF016C">
            <w:pPr>
              <w:rPr>
                <w:rFonts w:ascii="Arial" w:hAnsi="Arial" w:cs="Arial"/>
                <w:sz w:val="32"/>
              </w:rPr>
            </w:pPr>
            <w:bookmarkStart w:id="0" w:name="_GoBack"/>
            <w:bookmarkEnd w:id="0"/>
          </w:p>
        </w:tc>
      </w:tr>
    </w:tbl>
    <w:p w:rsidR="007942B4" w:rsidRDefault="007942B4" w:rsidP="007942B4"/>
    <w:p w:rsidR="008A6243" w:rsidRDefault="008A6243" w:rsidP="008A6243">
      <w:pPr>
        <w:ind w:firstLine="720"/>
        <w:jc w:val="center"/>
        <w:rPr>
          <w:b/>
        </w:rPr>
      </w:pPr>
      <w:r>
        <w:rPr>
          <w:b/>
        </w:rPr>
        <w:t>Tests (20 punkti).</w:t>
      </w:r>
    </w:p>
    <w:p w:rsidR="008A6243" w:rsidRDefault="008A6243" w:rsidP="008A6243">
      <w:pPr>
        <w:ind w:firstLine="720"/>
        <w:jc w:val="center"/>
        <w:rPr>
          <w:b/>
        </w:rPr>
      </w:pPr>
    </w:p>
    <w:p w:rsidR="008A6243" w:rsidRDefault="008A6243" w:rsidP="008A6243">
      <w:pPr>
        <w:numPr>
          <w:ilvl w:val="0"/>
          <w:numId w:val="26"/>
        </w:numPr>
        <w:spacing w:line="276" w:lineRule="auto"/>
      </w:pPr>
      <w:r>
        <w:rPr>
          <w:b/>
        </w:rPr>
        <w:t>– d; 2. – c; 3. – b; 4. –a; 5. – b; 6. – b; 7. – a; 8. – d; 9. – c; 10. – a; 11. – c; 12. – b; 13. – b; 14. - a;  15. – c; 16. – a; 17. – d; 18. – d; 19. – a; 20 – c.</w:t>
      </w:r>
      <w:r>
        <w:rPr>
          <w:b/>
        </w:rPr>
        <w:tab/>
      </w:r>
      <w:r>
        <w:rPr>
          <w:b/>
        </w:rPr>
        <w:tab/>
      </w:r>
      <w:r>
        <w:rPr>
          <w:b/>
        </w:rPr>
        <w:tab/>
      </w:r>
      <w:r>
        <w:rPr>
          <w:b/>
        </w:rPr>
        <w:tab/>
      </w:r>
      <w:r>
        <w:rPr>
          <w:b/>
        </w:rPr>
        <w:tab/>
      </w:r>
      <w:r>
        <w:rPr>
          <w:b/>
        </w:rPr>
        <w:tab/>
      </w:r>
      <w:r>
        <w:t xml:space="preserve"> </w:t>
      </w:r>
    </w:p>
    <w:p w:rsidR="008A6243" w:rsidRDefault="008A6243" w:rsidP="008A6243">
      <w:pPr>
        <w:rPr>
          <w:sz w:val="28"/>
          <w:szCs w:val="28"/>
        </w:rPr>
      </w:pPr>
    </w:p>
    <w:p w:rsidR="008A6243" w:rsidRPr="008A6243" w:rsidRDefault="008A6243" w:rsidP="008A6243">
      <w:pPr>
        <w:numPr>
          <w:ilvl w:val="0"/>
          <w:numId w:val="16"/>
        </w:numPr>
        <w:spacing w:line="276" w:lineRule="auto"/>
        <w:rPr>
          <w:b/>
        </w:rPr>
      </w:pPr>
      <w:r w:rsidRPr="008A6243">
        <w:rPr>
          <w:b/>
        </w:rPr>
        <w:t xml:space="preserve">uzdevums ( 9 punkti). </w:t>
      </w:r>
    </w:p>
    <w:p w:rsidR="008A6243" w:rsidRPr="008A6243" w:rsidRDefault="008A6243" w:rsidP="008A6243">
      <w:pPr>
        <w:numPr>
          <w:ilvl w:val="1"/>
          <w:numId w:val="16"/>
        </w:numPr>
        <w:spacing w:line="276" w:lineRule="auto"/>
      </w:pPr>
      <w:r w:rsidRPr="008A6243">
        <w:t xml:space="preserve">(3 p.) </w:t>
      </w:r>
    </w:p>
    <w:p w:rsidR="008A6243" w:rsidRPr="008A6243" w:rsidRDefault="008A6243" w:rsidP="008A6243">
      <w:pPr>
        <w:ind w:left="1440"/>
      </w:pPr>
      <w:r w:rsidRPr="008A6243">
        <w:t xml:space="preserve">Valstī A: makroekonomiskā stabilitāte </w:t>
      </w:r>
    </w:p>
    <w:p w:rsidR="008A6243" w:rsidRPr="008A6243" w:rsidRDefault="008A6243" w:rsidP="008A6243">
      <w:pPr>
        <w:ind w:left="1440"/>
      </w:pPr>
      <w:r w:rsidRPr="008A6243">
        <w:t>Valstī B: inflācijas plaisa</w:t>
      </w:r>
    </w:p>
    <w:p w:rsidR="008A6243" w:rsidRPr="008A6243" w:rsidRDefault="008A6243" w:rsidP="008A6243">
      <w:pPr>
        <w:ind w:left="1440"/>
      </w:pPr>
      <w:r w:rsidRPr="008A6243">
        <w:t>Valstī C: recesijas plaisa.</w:t>
      </w:r>
    </w:p>
    <w:p w:rsidR="008A6243" w:rsidRPr="008A6243" w:rsidRDefault="008A6243" w:rsidP="008A6243">
      <w:pPr>
        <w:numPr>
          <w:ilvl w:val="1"/>
          <w:numId w:val="16"/>
        </w:numPr>
        <w:spacing w:line="276" w:lineRule="auto"/>
      </w:pPr>
      <w:r w:rsidRPr="008A6243">
        <w:t>(2 p.) Monetāro : ierobežojošo</w:t>
      </w:r>
      <w:r w:rsidRPr="008A6243">
        <w:tab/>
      </w:r>
      <w:r w:rsidRPr="008A6243">
        <w:tab/>
        <w:t>Fiskālo: ierobežojošo</w:t>
      </w:r>
    </w:p>
    <w:p w:rsidR="008A6243" w:rsidRPr="008A6243" w:rsidRDefault="008A6243" w:rsidP="008A6243">
      <w:pPr>
        <w:numPr>
          <w:ilvl w:val="1"/>
          <w:numId w:val="16"/>
        </w:numPr>
        <w:spacing w:line="276" w:lineRule="auto"/>
      </w:pPr>
      <w:r w:rsidRPr="008A6243">
        <w:t xml:space="preserve"> (2 p.) Monetārās politikas: vai nu ORN paaugstināšana, vai  refinansēšanas likmes paaugstināšana, vai atklātā tirgū </w:t>
      </w:r>
      <w:r w:rsidRPr="008A6243">
        <w:rPr>
          <w:b/>
        </w:rPr>
        <w:t>pārdod</w:t>
      </w:r>
      <w:r w:rsidRPr="008A6243">
        <w:t xml:space="preserve"> valūtu, vērtspapīrus.</w:t>
      </w:r>
    </w:p>
    <w:p w:rsidR="008A6243" w:rsidRPr="008A6243" w:rsidRDefault="008A6243" w:rsidP="008A6243">
      <w:pPr>
        <w:ind w:left="1440"/>
      </w:pPr>
      <w:r w:rsidRPr="008A6243">
        <w:t>Fiskālās politikas: nodokļu palielināšana vai valdības izdevumu samazināšana.</w:t>
      </w:r>
    </w:p>
    <w:p w:rsidR="008A6243" w:rsidRPr="008A6243" w:rsidRDefault="008A6243" w:rsidP="008A6243">
      <w:pPr>
        <w:numPr>
          <w:ilvl w:val="1"/>
          <w:numId w:val="16"/>
        </w:numPr>
        <w:spacing w:line="276" w:lineRule="auto"/>
      </w:pPr>
      <w:r w:rsidRPr="008A6243">
        <w:t>(2 p.) Pozitīvais: liels darba piedāvājums; viegli atrast kvalificētu darbinieku par samērā  zemu cenu u.c.</w:t>
      </w:r>
    </w:p>
    <w:p w:rsidR="008A6243" w:rsidRPr="008A6243" w:rsidRDefault="008A6243" w:rsidP="008A6243">
      <w:pPr>
        <w:ind w:left="1440"/>
      </w:pPr>
      <w:r w:rsidRPr="008A6243">
        <w:t>Negatīvais: palielinās bezdarbs, daudzi darbinieki zaudē kvalifikāciju u.c.</w:t>
      </w:r>
    </w:p>
    <w:p w:rsidR="008A6243" w:rsidRPr="008A6243" w:rsidRDefault="008A6243" w:rsidP="008A6243">
      <w:pPr>
        <w:rPr>
          <w:b/>
        </w:rPr>
      </w:pPr>
    </w:p>
    <w:p w:rsidR="008A6243" w:rsidRPr="008A6243" w:rsidRDefault="008A6243" w:rsidP="008A6243">
      <w:pPr>
        <w:numPr>
          <w:ilvl w:val="0"/>
          <w:numId w:val="16"/>
        </w:numPr>
        <w:spacing w:line="276" w:lineRule="auto"/>
        <w:ind w:left="360"/>
        <w:rPr>
          <w:b/>
        </w:rPr>
      </w:pPr>
      <w:r w:rsidRPr="008A6243">
        <w:rPr>
          <w:b/>
        </w:rPr>
        <w:t xml:space="preserve">uzdevums (11 punkti). </w:t>
      </w:r>
    </w:p>
    <w:p w:rsidR="008A6243" w:rsidRPr="008A6243" w:rsidRDefault="008A6243" w:rsidP="008A6243">
      <w:pPr>
        <w:numPr>
          <w:ilvl w:val="1"/>
          <w:numId w:val="16"/>
        </w:numPr>
        <w:spacing w:line="276" w:lineRule="auto"/>
      </w:pPr>
      <w:r w:rsidRPr="008A6243">
        <w:t>a) Minimālā cena: 20  (eiro)</w:t>
      </w:r>
    </w:p>
    <w:p w:rsidR="008A6243" w:rsidRPr="008A6243" w:rsidRDefault="008A6243" w:rsidP="008A6243">
      <w:pPr>
        <w:ind w:left="1800"/>
      </w:pPr>
      <w:r w:rsidRPr="008A6243">
        <w:t>Maksimālā cena: 50 (eiro)</w:t>
      </w:r>
    </w:p>
    <w:p w:rsidR="008A6243" w:rsidRPr="008A6243" w:rsidRDefault="008A6243" w:rsidP="008A6243">
      <w:pPr>
        <w:numPr>
          <w:ilvl w:val="0"/>
          <w:numId w:val="22"/>
        </w:numPr>
        <w:spacing w:line="276" w:lineRule="auto"/>
      </w:pPr>
      <w:r w:rsidRPr="008A6243">
        <w:t>(1 p.)  35 × 35000 = 1225  000 (eiro)</w:t>
      </w:r>
    </w:p>
    <w:p w:rsidR="008A6243" w:rsidRPr="008A6243" w:rsidRDefault="008A6243" w:rsidP="008A6243">
      <w:pPr>
        <w:numPr>
          <w:ilvl w:val="1"/>
          <w:numId w:val="16"/>
        </w:numPr>
        <w:spacing w:line="276" w:lineRule="auto"/>
      </w:pPr>
      <w:r w:rsidRPr="008A6243">
        <w:t>a) ( 2 p.) Prece A tiks importēta, jo šīs preces cena pasaules tirgū ir 20 eiro un par šādu cenu patērētāji grib un spēj nopirkt 70 000 vienību.</w:t>
      </w:r>
    </w:p>
    <w:p w:rsidR="008A6243" w:rsidRPr="008A6243" w:rsidRDefault="008A6243" w:rsidP="008A6243">
      <w:pPr>
        <w:numPr>
          <w:ilvl w:val="0"/>
          <w:numId w:val="23"/>
        </w:numPr>
        <w:spacing w:line="276" w:lineRule="auto"/>
      </w:pPr>
      <w:r w:rsidRPr="008A6243">
        <w:t>( 2 p.) Iekšzemes ražotāju: 20 × 5000 = 100 000 (eiro)</w:t>
      </w:r>
    </w:p>
    <w:p w:rsidR="008A6243" w:rsidRPr="008A6243" w:rsidRDefault="008A6243" w:rsidP="008A6243">
      <w:pPr>
        <w:ind w:left="1800"/>
      </w:pPr>
      <w:r w:rsidRPr="008A6243">
        <w:t>Ārvalstu ražotāju: 20 × 65000  = 1300 000 (eiro)</w:t>
      </w:r>
    </w:p>
    <w:p w:rsidR="008A6243" w:rsidRPr="008A6243" w:rsidRDefault="008A6243" w:rsidP="008A6243"/>
    <w:p w:rsidR="008A6243" w:rsidRPr="008A6243" w:rsidRDefault="008A6243" w:rsidP="008A6243">
      <w:pPr>
        <w:numPr>
          <w:ilvl w:val="1"/>
          <w:numId w:val="16"/>
        </w:numPr>
        <w:spacing w:line="276" w:lineRule="auto"/>
      </w:pPr>
      <w:r w:rsidRPr="008A6243">
        <w:t>a) ( 1 p.) 15000 – 5000  = 10000 (vien.)</w:t>
      </w:r>
    </w:p>
    <w:p w:rsidR="008A6243" w:rsidRPr="008A6243" w:rsidRDefault="008A6243" w:rsidP="008A6243">
      <w:pPr>
        <w:numPr>
          <w:ilvl w:val="0"/>
          <w:numId w:val="24"/>
        </w:numPr>
        <w:spacing w:line="276" w:lineRule="auto"/>
      </w:pPr>
      <w:r w:rsidRPr="008A6243">
        <w:t>(1 p.) 5 × (60 000 – 15 000) = 225 000 (eiro)</w:t>
      </w:r>
    </w:p>
    <w:p w:rsidR="008A6243" w:rsidRPr="008A6243" w:rsidRDefault="008A6243" w:rsidP="008A6243">
      <w:pPr>
        <w:numPr>
          <w:ilvl w:val="0"/>
          <w:numId w:val="24"/>
        </w:numPr>
        <w:spacing w:line="276" w:lineRule="auto"/>
      </w:pPr>
      <w:r w:rsidRPr="008A6243">
        <w:t>(2 p.)  20 × 70 000 = 1400 000 eiro</w:t>
      </w:r>
    </w:p>
    <w:p w:rsidR="008A6243" w:rsidRPr="008A6243" w:rsidRDefault="008A6243" w:rsidP="008A6243">
      <w:pPr>
        <w:ind w:left="2520" w:firstLine="360"/>
      </w:pPr>
      <w:r w:rsidRPr="008A6243">
        <w:t>25 ×60 000 = 1500 000 eiro</w:t>
      </w:r>
    </w:p>
    <w:p w:rsidR="008A6243" w:rsidRPr="008A6243" w:rsidRDefault="008A6243" w:rsidP="008A6243">
      <w:pPr>
        <w:numPr>
          <w:ilvl w:val="0"/>
          <w:numId w:val="25"/>
        </w:numPr>
        <w:spacing w:line="276" w:lineRule="auto"/>
      </w:pPr>
      <w:r w:rsidRPr="008A6243">
        <w:t>000 – 1400 000 = palielinājās par 100 000 eiro</w:t>
      </w:r>
    </w:p>
    <w:p w:rsidR="008A6243" w:rsidRPr="008A6243" w:rsidRDefault="008A6243" w:rsidP="008A6243">
      <w:pPr>
        <w:ind w:left="720"/>
      </w:pPr>
    </w:p>
    <w:p w:rsidR="008A6243" w:rsidRPr="008A6243" w:rsidRDefault="008A6243" w:rsidP="008A6243">
      <w:pPr>
        <w:ind w:left="720"/>
      </w:pPr>
    </w:p>
    <w:p w:rsidR="008A6243" w:rsidRPr="008A6243" w:rsidRDefault="008A6243" w:rsidP="008A6243">
      <w:pPr>
        <w:numPr>
          <w:ilvl w:val="0"/>
          <w:numId w:val="16"/>
        </w:numPr>
        <w:spacing w:line="276" w:lineRule="auto"/>
        <w:rPr>
          <w:b/>
        </w:rPr>
      </w:pPr>
      <w:r w:rsidRPr="008A6243">
        <w:rPr>
          <w:b/>
        </w:rPr>
        <w:t xml:space="preserve">uzdevums (8 punkti). </w:t>
      </w:r>
    </w:p>
    <w:p w:rsidR="008A6243" w:rsidRPr="008A6243" w:rsidRDefault="008A6243" w:rsidP="008A6243">
      <w:pPr>
        <w:numPr>
          <w:ilvl w:val="1"/>
          <w:numId w:val="21"/>
        </w:numPr>
        <w:spacing w:line="276" w:lineRule="auto"/>
      </w:pPr>
      <w:r w:rsidRPr="008A6243">
        <w:t>(1 p.) 14,9 – 14,7  = 0,2 ( miljardi eiro)</w:t>
      </w:r>
    </w:p>
    <w:p w:rsidR="008A6243" w:rsidRPr="008A6243" w:rsidRDefault="008A6243" w:rsidP="008A6243">
      <w:pPr>
        <w:numPr>
          <w:ilvl w:val="1"/>
          <w:numId w:val="21"/>
        </w:numPr>
        <w:spacing w:line="276" w:lineRule="auto"/>
      </w:pPr>
      <w:r w:rsidRPr="008A6243">
        <w:lastRenderedPageBreak/>
        <w:t xml:space="preserve">(6 p.) Metode: ražošanas (pievienotās vērtības) </w:t>
      </w:r>
    </w:p>
    <w:p w:rsidR="008A6243" w:rsidRPr="008A6243" w:rsidRDefault="008A6243" w:rsidP="008A6243">
      <w:pPr>
        <w:ind w:left="720"/>
      </w:pPr>
      <w:r w:rsidRPr="008A6243">
        <w:t>Formula: IKP = pievienotā vērtība + produktu (netiešie) nodokļi – subsīdijas.</w:t>
      </w:r>
    </w:p>
    <w:p w:rsidR="008A6243" w:rsidRPr="008A6243" w:rsidRDefault="008A6243" w:rsidP="008A6243">
      <w:pPr>
        <w:ind w:firstLine="720"/>
      </w:pPr>
      <w:r w:rsidRPr="008A6243">
        <w:t>Aprēķins: (46,8 – 25,1) + 3,23 – 0,03 = 24,9 (miljardi eiro)</w:t>
      </w:r>
    </w:p>
    <w:p w:rsidR="008A6243" w:rsidRPr="008A6243" w:rsidRDefault="008A6243" w:rsidP="008A6243">
      <w:pPr>
        <w:ind w:firstLine="720"/>
      </w:pPr>
      <w:r w:rsidRPr="008A6243">
        <w:t>Metode: izdevumu metode</w:t>
      </w:r>
    </w:p>
    <w:p w:rsidR="008A6243" w:rsidRPr="008A6243" w:rsidRDefault="008A6243" w:rsidP="008A6243">
      <w:pPr>
        <w:ind w:firstLine="720"/>
        <w:rPr>
          <w:vertAlign w:val="subscript"/>
        </w:rPr>
      </w:pPr>
      <w:r w:rsidRPr="008A6243">
        <w:t xml:space="preserve">Formula: IKP = C + </w:t>
      </w:r>
      <w:proofErr w:type="spellStart"/>
      <w:r w:rsidRPr="008A6243">
        <w:t>I</w:t>
      </w:r>
      <w:r w:rsidRPr="008A6243">
        <w:rPr>
          <w:vertAlign w:val="subscript"/>
        </w:rPr>
        <w:t>g</w:t>
      </w:r>
      <w:proofErr w:type="spellEnd"/>
      <w:r w:rsidRPr="008A6243">
        <w:t xml:space="preserve"> + G + </w:t>
      </w:r>
      <w:proofErr w:type="spellStart"/>
      <w:r w:rsidRPr="008A6243">
        <w:t>X</w:t>
      </w:r>
      <w:r w:rsidRPr="008A6243">
        <w:rPr>
          <w:vertAlign w:val="subscript"/>
        </w:rPr>
        <w:t>n</w:t>
      </w:r>
      <w:proofErr w:type="spellEnd"/>
    </w:p>
    <w:p w:rsidR="008A6243" w:rsidRPr="008A6243" w:rsidRDefault="008A6243" w:rsidP="008A6243">
      <w:pPr>
        <w:ind w:firstLine="720"/>
      </w:pPr>
      <w:r w:rsidRPr="008A6243">
        <w:t>Aprēķins: 15,3 + 4,9 + 4,5 + 0,2 = 24,9 (miljardi eiro)</w:t>
      </w:r>
    </w:p>
    <w:p w:rsidR="008A6243" w:rsidRPr="008A6243" w:rsidRDefault="008A6243" w:rsidP="008A6243">
      <w:pPr>
        <w:ind w:left="720"/>
      </w:pPr>
      <w:r w:rsidRPr="008A6243">
        <w:t>3.3. (1 p.)  4,9 – 2,4 = 2,5 (miljardi eiro).</w:t>
      </w:r>
    </w:p>
    <w:p w:rsidR="008A6243" w:rsidRPr="008A6243" w:rsidRDefault="008A6243" w:rsidP="008A6243">
      <w:pPr>
        <w:rPr>
          <w:b/>
        </w:rPr>
      </w:pPr>
    </w:p>
    <w:p w:rsidR="008A6243" w:rsidRPr="008A6243" w:rsidRDefault="008A6243" w:rsidP="008A6243">
      <w:pPr>
        <w:numPr>
          <w:ilvl w:val="0"/>
          <w:numId w:val="21"/>
        </w:numPr>
        <w:spacing w:line="276" w:lineRule="auto"/>
        <w:rPr>
          <w:b/>
        </w:rPr>
      </w:pPr>
      <w:r w:rsidRPr="008A6243">
        <w:rPr>
          <w:b/>
        </w:rPr>
        <w:t xml:space="preserve">uzdevums (11 punkti). </w:t>
      </w:r>
    </w:p>
    <w:p w:rsidR="008A6243" w:rsidRPr="008A6243" w:rsidRDefault="008A6243" w:rsidP="008A6243">
      <w:pPr>
        <w:numPr>
          <w:ilvl w:val="1"/>
          <w:numId w:val="21"/>
        </w:numPr>
        <w:spacing w:line="276" w:lineRule="auto"/>
      </w:pPr>
      <w:r>
        <w:t>(</w:t>
      </w:r>
      <w:r w:rsidRPr="008A6243">
        <w:t>2 p.) Konstruēta ražošanas iespēju robeža, pierakstīti apzīmējumi!</w:t>
      </w:r>
    </w:p>
    <w:p w:rsidR="008A6243" w:rsidRPr="008A6243" w:rsidRDefault="008A6243" w:rsidP="008A6243">
      <w:pPr>
        <w:numPr>
          <w:ilvl w:val="1"/>
          <w:numId w:val="21"/>
        </w:numPr>
        <w:spacing w:line="276" w:lineRule="auto"/>
      </w:pPr>
      <w:r w:rsidRPr="008A6243">
        <w:t xml:space="preserve">(3 p.)   a) Ir tikai divi produkti (preces). </w:t>
      </w:r>
    </w:p>
    <w:p w:rsidR="008A6243" w:rsidRPr="008A6243" w:rsidRDefault="008A6243" w:rsidP="008A6243">
      <w:pPr>
        <w:ind w:left="1080"/>
      </w:pPr>
      <w:r w:rsidRPr="008A6243">
        <w:t xml:space="preserve">               b) Tehnoloģijas nemainās.</w:t>
      </w:r>
    </w:p>
    <w:p w:rsidR="008A6243" w:rsidRPr="008A6243" w:rsidRDefault="008A6243" w:rsidP="008A6243">
      <w:pPr>
        <w:ind w:left="1080"/>
      </w:pPr>
      <w:r w:rsidRPr="008A6243">
        <w:t xml:space="preserve">              c) Resursi ir tik cik ir = nevar palielināt.</w:t>
      </w:r>
    </w:p>
    <w:p w:rsidR="008A6243" w:rsidRPr="008A6243" w:rsidRDefault="008A6243" w:rsidP="008A6243">
      <w:pPr>
        <w:ind w:left="1080"/>
      </w:pPr>
      <w:r w:rsidRPr="008A6243">
        <w:t xml:space="preserve">             d) Resursus var izmantot vienlīdz vienas, gan otras preces ražošanā u.c.</w:t>
      </w:r>
    </w:p>
    <w:p w:rsidR="008A6243" w:rsidRPr="008A6243" w:rsidRDefault="008A6243" w:rsidP="008A6243">
      <w:pPr>
        <w:numPr>
          <w:ilvl w:val="1"/>
          <w:numId w:val="21"/>
        </w:numPr>
        <w:spacing w:line="276" w:lineRule="auto"/>
      </w:pPr>
    </w:p>
    <w:p w:rsidR="008A6243" w:rsidRPr="008A6243" w:rsidRDefault="008A6243" w:rsidP="008A6243">
      <w:pPr>
        <w:numPr>
          <w:ilvl w:val="0"/>
          <w:numId w:val="17"/>
        </w:numPr>
        <w:spacing w:line="276" w:lineRule="auto"/>
      </w:pPr>
      <w:r>
        <w:t xml:space="preserve"> (</w:t>
      </w:r>
      <w:r w:rsidRPr="008A6243">
        <w:t>1 p.) Attēlota situācija izveidotajā modelī ar punktu F!</w:t>
      </w:r>
    </w:p>
    <w:p w:rsidR="008A6243" w:rsidRPr="008A6243" w:rsidRDefault="008A6243" w:rsidP="008A6243">
      <w:pPr>
        <w:numPr>
          <w:ilvl w:val="0"/>
          <w:numId w:val="17"/>
        </w:numPr>
        <w:spacing w:line="276" w:lineRule="auto"/>
      </w:pPr>
      <w:r w:rsidRPr="008A6243">
        <w:t xml:space="preserve"> (2 p.) Ražošana ir neefektīva; var palielināt gan preces K, gan preces M ražošanu, var palielināt preces K ražošanu; var palielināt preces M ražošanu  u.c.</w:t>
      </w:r>
    </w:p>
    <w:p w:rsidR="008A6243" w:rsidRPr="008A6243" w:rsidRDefault="008A6243" w:rsidP="008A6243">
      <w:pPr>
        <w:numPr>
          <w:ilvl w:val="0"/>
          <w:numId w:val="17"/>
        </w:numPr>
        <w:spacing w:line="276" w:lineRule="auto"/>
      </w:pPr>
      <w:r w:rsidRPr="008A6243">
        <w:t xml:space="preserve"> (2 p.) Paaugstinot ražošanas efektivitāti; paaugstinot darba ražīgumu; palielinot ražošanas resursu izmantošanu</w:t>
      </w:r>
      <w:r>
        <w:t xml:space="preserve"> u.</w:t>
      </w:r>
      <w:r w:rsidRPr="008A6243">
        <w:t xml:space="preserve">c. </w:t>
      </w:r>
    </w:p>
    <w:p w:rsidR="008A6243" w:rsidRPr="008A6243" w:rsidRDefault="008A6243" w:rsidP="008A6243">
      <w:pPr>
        <w:numPr>
          <w:ilvl w:val="1"/>
          <w:numId w:val="21"/>
        </w:numPr>
        <w:spacing w:line="276" w:lineRule="auto"/>
      </w:pPr>
      <w:r w:rsidRPr="008A6243">
        <w:t xml:space="preserve">(1 p.) 1 preces M vienība </w:t>
      </w:r>
    </w:p>
    <w:p w:rsidR="008A6243" w:rsidRPr="008A6243" w:rsidRDefault="008A6243" w:rsidP="008A6243">
      <w:pPr>
        <w:ind w:left="720"/>
      </w:pPr>
    </w:p>
    <w:p w:rsidR="008A6243" w:rsidRPr="008A6243" w:rsidRDefault="008A6243" w:rsidP="008A6243">
      <w:pPr>
        <w:numPr>
          <w:ilvl w:val="0"/>
          <w:numId w:val="21"/>
        </w:numPr>
        <w:spacing w:line="276" w:lineRule="auto"/>
        <w:rPr>
          <w:b/>
        </w:rPr>
      </w:pPr>
      <w:r w:rsidRPr="008A6243">
        <w:rPr>
          <w:b/>
        </w:rPr>
        <w:t xml:space="preserve">uzdevums ( 13 punkti). </w:t>
      </w:r>
    </w:p>
    <w:p w:rsidR="008A6243" w:rsidRPr="008A6243" w:rsidRDefault="008A6243" w:rsidP="008A6243">
      <w:pPr>
        <w:numPr>
          <w:ilvl w:val="1"/>
          <w:numId w:val="21"/>
        </w:numPr>
        <w:spacing w:line="276" w:lineRule="auto"/>
      </w:pPr>
      <w:r w:rsidRPr="008A6243">
        <w:t xml:space="preserve">(6 p.) </w:t>
      </w:r>
    </w:p>
    <w:p w:rsidR="008A6243" w:rsidRPr="008A6243" w:rsidRDefault="008A6243" w:rsidP="008A6243">
      <w:pPr>
        <w:numPr>
          <w:ilvl w:val="0"/>
          <w:numId w:val="18"/>
        </w:numPr>
        <w:spacing w:line="276" w:lineRule="auto"/>
      </w:pPr>
      <w:r w:rsidRPr="008A6243">
        <w:t xml:space="preserve">Maiņas (apgrozības) līdzeklis; grūti noteikt, kādā attiecībā mainīt naudu pret preci; negrib pieņemt apmaiņai naudu; palielinās bartera darījumu pieprasījums; apgrūtināta preču maiņa; negrib iesaistīties naudas darījumos u.c. </w:t>
      </w:r>
    </w:p>
    <w:p w:rsidR="008A6243" w:rsidRPr="008A6243" w:rsidRDefault="008A6243" w:rsidP="008A6243">
      <w:pPr>
        <w:numPr>
          <w:ilvl w:val="0"/>
          <w:numId w:val="18"/>
        </w:numPr>
        <w:spacing w:line="276" w:lineRule="auto"/>
      </w:pPr>
      <w:r w:rsidRPr="008A6243">
        <w:t>Vērtības mērs;  strauji mainās naudas vērtība; strauji samazinās naudas vērtība; grūti noteikt, kādā attiecībā nauda ir maināma pret precēm , citām</w:t>
      </w:r>
      <w:r>
        <w:t xml:space="preserve"> </w:t>
      </w:r>
      <w:r w:rsidRPr="008A6243">
        <w:t>valūtām; palielinās izmaksas (“ēdienkartes efekta”), bieži jāpārceno preces; nauda ātri jāizlieto, kamēr nav samazinājusies tās vērtība.</w:t>
      </w:r>
    </w:p>
    <w:p w:rsidR="008A6243" w:rsidRPr="008A6243" w:rsidRDefault="008A6243" w:rsidP="008A6243">
      <w:pPr>
        <w:numPr>
          <w:ilvl w:val="0"/>
          <w:numId w:val="18"/>
        </w:numPr>
        <w:spacing w:line="276" w:lineRule="auto"/>
      </w:pPr>
      <w:r w:rsidRPr="008A6243">
        <w:t xml:space="preserve">Vērtības (bagātības) uzkrāšanas līdzeklis; samazinās mājsaimniecību, uzņēmumu uzkrājumu vērtība, bagātība; samazinās uzkrāšanas tieksme; mazi uzkrājumi           mazas investīcijas; pieaug vēlme ātri tikt ”vaļā” no vērtību zaudējošas naudas u.c. </w:t>
      </w:r>
    </w:p>
    <w:p w:rsidR="008A6243" w:rsidRPr="008A6243" w:rsidRDefault="008A6243" w:rsidP="008A6243">
      <w:pPr>
        <w:numPr>
          <w:ilvl w:val="1"/>
          <w:numId w:val="21"/>
        </w:numPr>
        <w:spacing w:line="276" w:lineRule="auto"/>
      </w:pPr>
      <w:r w:rsidRPr="008A6243">
        <w:t>(1 p.) Jo naudas piedāvājums nav atkarīgs no procentu likmēm.</w:t>
      </w:r>
    </w:p>
    <w:p w:rsidR="008A6243" w:rsidRPr="008A6243" w:rsidRDefault="008A6243" w:rsidP="008A6243">
      <w:pPr>
        <w:numPr>
          <w:ilvl w:val="1"/>
          <w:numId w:val="21"/>
        </w:numPr>
        <w:spacing w:line="276" w:lineRule="auto"/>
      </w:pPr>
      <w:r w:rsidRPr="008A6243">
        <w:t>(2 p.) Jo darbojas banku naudas multiplikators (1/ORN).</w:t>
      </w:r>
    </w:p>
    <w:p w:rsidR="008A6243" w:rsidRPr="008A6243" w:rsidRDefault="008A6243" w:rsidP="008A6243">
      <w:pPr>
        <w:numPr>
          <w:ilvl w:val="1"/>
          <w:numId w:val="21"/>
        </w:numPr>
        <w:spacing w:line="276" w:lineRule="auto"/>
      </w:pPr>
      <w:r w:rsidRPr="008A6243">
        <w:t>(4 p.) 3 p. - par peļņas  posteņiem, 1p. – par pareizu secību.</w:t>
      </w:r>
    </w:p>
    <w:p w:rsidR="008A6243" w:rsidRPr="008A6243" w:rsidRDefault="008A6243" w:rsidP="008A6243">
      <w:pPr>
        <w:numPr>
          <w:ilvl w:val="0"/>
          <w:numId w:val="19"/>
        </w:numPr>
        <w:spacing w:line="276" w:lineRule="auto"/>
      </w:pPr>
      <w:r w:rsidRPr="008A6243">
        <w:rPr>
          <w:b/>
        </w:rPr>
        <w:t>Neto (tīrie)</w:t>
      </w:r>
      <w:r w:rsidRPr="008A6243">
        <w:t xml:space="preserve"> procentu ieņēmumi. </w:t>
      </w:r>
    </w:p>
    <w:p w:rsidR="008A6243" w:rsidRPr="008A6243" w:rsidRDefault="008A6243" w:rsidP="008A6243">
      <w:pPr>
        <w:numPr>
          <w:ilvl w:val="0"/>
          <w:numId w:val="19"/>
        </w:numPr>
        <w:spacing w:line="276" w:lineRule="auto"/>
      </w:pPr>
      <w:r w:rsidRPr="008A6243">
        <w:t>Komisijas maksas un (tām pielīdzinātie ieņēmumi).</w:t>
      </w:r>
    </w:p>
    <w:p w:rsidR="008A6243" w:rsidRPr="008A6243" w:rsidRDefault="008A6243" w:rsidP="008A6243">
      <w:pPr>
        <w:numPr>
          <w:ilvl w:val="0"/>
          <w:numId w:val="19"/>
        </w:numPr>
        <w:spacing w:line="276" w:lineRule="auto"/>
      </w:pPr>
      <w:r w:rsidRPr="008A6243">
        <w:t xml:space="preserve">Darījumi ar vērtspapīriem; valūtu maiņa </w:t>
      </w:r>
      <w:r w:rsidRPr="008A6243">
        <w:rPr>
          <w:b/>
        </w:rPr>
        <w:t>u.c.</w:t>
      </w:r>
      <w:r w:rsidRPr="008A6243">
        <w:t xml:space="preserve"> </w:t>
      </w:r>
    </w:p>
    <w:p w:rsidR="008A6243" w:rsidRPr="008A6243" w:rsidRDefault="008A6243" w:rsidP="008A6243">
      <w:pPr>
        <w:ind w:left="1800"/>
      </w:pPr>
    </w:p>
    <w:p w:rsidR="008A6243" w:rsidRPr="008A6243" w:rsidRDefault="008A6243" w:rsidP="008A6243">
      <w:pPr>
        <w:numPr>
          <w:ilvl w:val="0"/>
          <w:numId w:val="21"/>
        </w:numPr>
        <w:spacing w:line="276" w:lineRule="auto"/>
        <w:rPr>
          <w:b/>
        </w:rPr>
      </w:pPr>
      <w:r w:rsidRPr="008A6243">
        <w:rPr>
          <w:b/>
        </w:rPr>
        <w:t xml:space="preserve">uzdevums  (12 punkti). </w:t>
      </w:r>
    </w:p>
    <w:p w:rsidR="008A6243" w:rsidRPr="008A6243" w:rsidRDefault="008A6243" w:rsidP="008A6243">
      <w:pPr>
        <w:numPr>
          <w:ilvl w:val="1"/>
          <w:numId w:val="21"/>
        </w:numPr>
        <w:spacing w:line="276" w:lineRule="auto"/>
      </w:pPr>
      <w:r w:rsidRPr="008A6243">
        <w:t>(4 p.) 1 p. par katru pareizu atbildi.</w:t>
      </w:r>
    </w:p>
    <w:p w:rsidR="008A6243" w:rsidRPr="008A6243" w:rsidRDefault="008A6243" w:rsidP="008A6243">
      <w:pPr>
        <w:ind w:left="1440"/>
      </w:pPr>
      <w:r w:rsidRPr="008A6243">
        <w:t xml:space="preserve">SAF tehnikas un </w:t>
      </w:r>
      <w:proofErr w:type="spellStart"/>
      <w:r w:rsidRPr="008A6243">
        <w:t>Grindeks</w:t>
      </w:r>
      <w:proofErr w:type="spellEnd"/>
    </w:p>
    <w:p w:rsidR="008A6243" w:rsidRPr="008A6243" w:rsidRDefault="008A6243" w:rsidP="008A6243">
      <w:pPr>
        <w:ind w:left="1440"/>
      </w:pPr>
      <w:r w:rsidRPr="008A6243">
        <w:t>29.12.17. Jāpārdod SAF tehnikas akcijas.</w:t>
      </w:r>
    </w:p>
    <w:p w:rsidR="008A6243" w:rsidRPr="008A6243" w:rsidRDefault="008A6243" w:rsidP="008A6243">
      <w:pPr>
        <w:ind w:left="1440"/>
      </w:pPr>
      <w:r w:rsidRPr="008A6243">
        <w:t>2.03.18.  Jāatpērk SAF tehnikas akcijas.</w:t>
      </w:r>
    </w:p>
    <w:p w:rsidR="008A6243" w:rsidRPr="008A6243" w:rsidRDefault="008A6243" w:rsidP="008A6243">
      <w:pPr>
        <w:ind w:left="1440"/>
      </w:pPr>
      <w:r w:rsidRPr="008A6243">
        <w:t>Maksimālais ieguvums = 6,45 – 4.90 = 1,55 eiro par katru akciju.</w:t>
      </w:r>
    </w:p>
    <w:p w:rsidR="008A6243" w:rsidRPr="008A6243" w:rsidRDefault="008A6243" w:rsidP="008A6243">
      <w:pPr>
        <w:numPr>
          <w:ilvl w:val="1"/>
          <w:numId w:val="21"/>
        </w:numPr>
        <w:spacing w:line="276" w:lineRule="auto"/>
      </w:pPr>
      <w:r w:rsidRPr="008A6243">
        <w:t xml:space="preserve">(5 p.) 1 p. par katru pareizu atbildi. </w:t>
      </w:r>
    </w:p>
    <w:p w:rsidR="008A6243" w:rsidRPr="008A6243" w:rsidRDefault="008A6243" w:rsidP="008A6243">
      <w:pPr>
        <w:ind w:left="1440"/>
      </w:pPr>
      <w:proofErr w:type="spellStart"/>
      <w:r w:rsidRPr="008A6243">
        <w:t>Olainfarm</w:t>
      </w:r>
      <w:proofErr w:type="spellEnd"/>
      <w:r w:rsidRPr="008A6243">
        <w:t xml:space="preserve"> un </w:t>
      </w:r>
      <w:proofErr w:type="spellStart"/>
      <w:r w:rsidRPr="008A6243">
        <w:t>Grindeks</w:t>
      </w:r>
      <w:proofErr w:type="spellEnd"/>
    </w:p>
    <w:p w:rsidR="008A6243" w:rsidRPr="008A6243" w:rsidRDefault="008A6243" w:rsidP="008A6243">
      <w:pPr>
        <w:ind w:left="1440"/>
      </w:pPr>
      <w:r w:rsidRPr="008A6243">
        <w:t xml:space="preserve">29.12.17. jāpērk </w:t>
      </w:r>
      <w:proofErr w:type="spellStart"/>
      <w:r w:rsidRPr="008A6243">
        <w:t>Grindeksa</w:t>
      </w:r>
      <w:proofErr w:type="spellEnd"/>
      <w:r w:rsidRPr="008A6243">
        <w:t xml:space="preserve"> akcijas.</w:t>
      </w:r>
    </w:p>
    <w:p w:rsidR="008A6243" w:rsidRPr="008A6243" w:rsidRDefault="008A6243" w:rsidP="008A6243">
      <w:pPr>
        <w:ind w:left="1440"/>
      </w:pPr>
      <w:r w:rsidRPr="008A6243">
        <w:lastRenderedPageBreak/>
        <w:t xml:space="preserve">28.02.18. jāpārdod </w:t>
      </w:r>
      <w:proofErr w:type="spellStart"/>
      <w:r w:rsidRPr="008A6243">
        <w:t>Grindeksa</w:t>
      </w:r>
      <w:proofErr w:type="spellEnd"/>
      <w:r w:rsidRPr="008A6243">
        <w:t xml:space="preserve"> akcijas.</w:t>
      </w:r>
    </w:p>
    <w:p w:rsidR="008A6243" w:rsidRPr="008A6243" w:rsidRDefault="008A6243" w:rsidP="008A6243">
      <w:pPr>
        <w:ind w:left="1440"/>
      </w:pPr>
      <w:r w:rsidRPr="008A6243">
        <w:t>1000 : 6.80 = 147 akcijas</w:t>
      </w:r>
    </w:p>
    <w:p w:rsidR="008A6243" w:rsidRPr="008A6243" w:rsidRDefault="008A6243" w:rsidP="008A6243">
      <w:pPr>
        <w:ind w:left="1440"/>
      </w:pPr>
      <w:r w:rsidRPr="008A6243">
        <w:t>147 × (7,74 – 6,80) = 138,18 eiro</w:t>
      </w:r>
    </w:p>
    <w:p w:rsidR="008A6243" w:rsidRPr="008A6243" w:rsidRDefault="008A6243" w:rsidP="008A6243">
      <w:pPr>
        <w:numPr>
          <w:ilvl w:val="1"/>
          <w:numId w:val="21"/>
        </w:numPr>
        <w:spacing w:line="276" w:lineRule="auto"/>
      </w:pPr>
      <w:r w:rsidRPr="008A6243">
        <w:t>(1 p.) (0,67 : 6,45) × 100 = 10,39% vai 0,1039 eiro vai 10,39 eiro centi. Var būt dažādi noapaļotas.</w:t>
      </w:r>
    </w:p>
    <w:p w:rsidR="008A6243" w:rsidRPr="008A6243" w:rsidRDefault="008A6243" w:rsidP="008A6243">
      <w:pPr>
        <w:numPr>
          <w:ilvl w:val="1"/>
          <w:numId w:val="21"/>
        </w:numPr>
        <w:spacing w:line="276" w:lineRule="auto"/>
      </w:pPr>
      <w:r w:rsidRPr="008A6243">
        <w:t xml:space="preserve">(2 p.) Pa 1 p. par katru pareizu atbildi. </w:t>
      </w:r>
    </w:p>
    <w:p w:rsidR="008A6243" w:rsidRPr="008A6243" w:rsidRDefault="008A6243" w:rsidP="008A6243">
      <w:pPr>
        <w:ind w:left="1440"/>
      </w:pPr>
      <w:r w:rsidRPr="008A6243">
        <w:t xml:space="preserve">Lielākais pieprasījums: </w:t>
      </w:r>
      <w:proofErr w:type="spellStart"/>
      <w:r w:rsidRPr="008A6243">
        <w:t>Olainfarm</w:t>
      </w:r>
      <w:proofErr w:type="spellEnd"/>
    </w:p>
    <w:p w:rsidR="008A6243" w:rsidRPr="008A6243" w:rsidRDefault="008A6243" w:rsidP="008A6243">
      <w:pPr>
        <w:ind w:left="1440"/>
      </w:pPr>
      <w:r w:rsidRPr="008A6243">
        <w:t xml:space="preserve">Lielākais piedāvājums: </w:t>
      </w:r>
      <w:proofErr w:type="spellStart"/>
      <w:r w:rsidRPr="008A6243">
        <w:t>Olainfarm</w:t>
      </w:r>
      <w:proofErr w:type="spellEnd"/>
    </w:p>
    <w:p w:rsidR="008A6243" w:rsidRPr="008A6243" w:rsidRDefault="008A6243" w:rsidP="008A6243">
      <w:pPr>
        <w:ind w:left="1440"/>
      </w:pPr>
      <w:r w:rsidRPr="008A6243">
        <w:t>Katrā darījuma ”sakrīt = ir vienāds” pieprasījums un piedāvājums.</w:t>
      </w:r>
    </w:p>
    <w:p w:rsidR="008A6243" w:rsidRPr="008A6243" w:rsidRDefault="008A6243" w:rsidP="008A6243">
      <w:pPr>
        <w:ind w:left="1440"/>
      </w:pPr>
      <w:r w:rsidRPr="008A6243">
        <w:t>(darījumi notiek par dažādām cenām, bet katrā darījuma pirkšanas un pārdošanas cenas ir vienādas vai vienādi ”cenu koridori”.</w:t>
      </w:r>
    </w:p>
    <w:p w:rsidR="008A6243" w:rsidRPr="008A6243" w:rsidRDefault="008A6243" w:rsidP="008A6243">
      <w:pPr>
        <w:rPr>
          <w:b/>
        </w:rPr>
      </w:pPr>
    </w:p>
    <w:p w:rsidR="008A6243" w:rsidRPr="008A6243" w:rsidRDefault="008A6243" w:rsidP="008A6243">
      <w:pPr>
        <w:numPr>
          <w:ilvl w:val="0"/>
          <w:numId w:val="21"/>
        </w:numPr>
        <w:spacing w:line="276" w:lineRule="auto"/>
        <w:rPr>
          <w:b/>
        </w:rPr>
      </w:pPr>
      <w:r w:rsidRPr="008A6243">
        <w:rPr>
          <w:b/>
        </w:rPr>
        <w:t xml:space="preserve">uzdevums (10 punkti).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080"/>
        <w:gridCol w:w="1080"/>
        <w:gridCol w:w="1029"/>
        <w:gridCol w:w="1033"/>
        <w:gridCol w:w="1029"/>
        <w:gridCol w:w="1134"/>
      </w:tblGrid>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Q (vien.)</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AVC</w:t>
            </w:r>
          </w:p>
          <w:p w:rsidR="008A6243" w:rsidRPr="008A6243" w:rsidRDefault="008A6243" w:rsidP="00042300">
            <w:r w:rsidRPr="008A6243">
              <w:t>(eiro)</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 xml:space="preserve">ATC </w:t>
            </w:r>
          </w:p>
          <w:p w:rsidR="008A6243" w:rsidRPr="008A6243" w:rsidRDefault="008A6243" w:rsidP="00042300">
            <w:r w:rsidRPr="008A6243">
              <w:t>(eiro)</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TC</w:t>
            </w:r>
          </w:p>
          <w:p w:rsidR="008A6243" w:rsidRPr="008A6243" w:rsidRDefault="008A6243" w:rsidP="00042300">
            <w:r w:rsidRPr="008A6243">
              <w:t>(eiro)</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MC</w:t>
            </w:r>
          </w:p>
          <w:p w:rsidR="008A6243" w:rsidRPr="008A6243" w:rsidRDefault="008A6243" w:rsidP="00042300">
            <w:r w:rsidRPr="008A6243">
              <w:t>(eiro)</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TR</w:t>
            </w:r>
          </w:p>
          <w:p w:rsidR="008A6243" w:rsidRPr="008A6243" w:rsidRDefault="008A6243" w:rsidP="00042300">
            <w:r w:rsidRPr="008A6243">
              <w:t>(eiro)</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Peļņa/</w:t>
            </w:r>
          </w:p>
          <w:p w:rsidR="008A6243" w:rsidRPr="008A6243" w:rsidRDefault="008A6243" w:rsidP="00042300">
            <w:proofErr w:type="spellStart"/>
            <w:r w:rsidRPr="008A6243">
              <w:t>Zaudēj</w:t>
            </w:r>
            <w:proofErr w:type="spellEnd"/>
            <w:r w:rsidRPr="008A6243">
              <w:t>.</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45</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105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105</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45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45</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-60</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42,50</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72,50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145</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90</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- 55</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40,00</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60,00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180</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135</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- 45</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37,50</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52,50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210</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180</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-30</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5</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37,00</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49</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245</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35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225</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pPr>
              <w:rPr>
                <w:b/>
                <w:color w:val="FF0000"/>
              </w:rPr>
            </w:pPr>
            <w:r w:rsidRPr="008A6243">
              <w:rPr>
                <w:b/>
                <w:color w:val="FF0000"/>
              </w:rPr>
              <w:t>-20</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6</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37,50</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47,5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285</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270</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-15</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7</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38,57</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47,14</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330</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315</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-15</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8</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40,63</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48,13</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385</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55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360</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-25</w:t>
            </w:r>
          </w:p>
        </w:tc>
      </w:tr>
      <w:tr w:rsidR="008A6243" w:rsidRPr="008A6243" w:rsidTr="00042300">
        <w:tc>
          <w:tcPr>
            <w:tcW w:w="1107"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9</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43,33</w:t>
            </w:r>
          </w:p>
        </w:tc>
        <w:tc>
          <w:tcPr>
            <w:tcW w:w="1080"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50,00</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450</w:t>
            </w:r>
          </w:p>
        </w:tc>
        <w:tc>
          <w:tcPr>
            <w:tcW w:w="1033"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65</w:t>
            </w:r>
          </w:p>
        </w:tc>
        <w:tc>
          <w:tcPr>
            <w:tcW w:w="1029"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405</w:t>
            </w:r>
          </w:p>
        </w:tc>
        <w:tc>
          <w:tcPr>
            <w:tcW w:w="1134" w:type="dxa"/>
            <w:tcBorders>
              <w:top w:val="single" w:sz="4" w:space="0" w:color="auto"/>
              <w:left w:val="single" w:sz="4" w:space="0" w:color="auto"/>
              <w:bottom w:val="single" w:sz="4" w:space="0" w:color="auto"/>
              <w:right w:val="single" w:sz="4" w:space="0" w:color="auto"/>
            </w:tcBorders>
            <w:hideMark/>
          </w:tcPr>
          <w:p w:rsidR="008A6243" w:rsidRPr="008A6243" w:rsidRDefault="008A6243" w:rsidP="00042300">
            <w:r w:rsidRPr="008A6243">
              <w:t>-45</w:t>
            </w:r>
          </w:p>
        </w:tc>
      </w:tr>
    </w:tbl>
    <w:p w:rsidR="008A6243" w:rsidRPr="008A6243" w:rsidRDefault="008A6243" w:rsidP="008A6243">
      <w:pPr>
        <w:numPr>
          <w:ilvl w:val="1"/>
          <w:numId w:val="21"/>
        </w:numPr>
        <w:spacing w:line="276" w:lineRule="auto"/>
      </w:pPr>
      <w:r w:rsidRPr="008A6243">
        <w:t xml:space="preserve">1 p. par katru pareizi aprēķinātu un tabulā ierakstītu rādītāju. </w:t>
      </w:r>
    </w:p>
    <w:p w:rsidR="008A6243" w:rsidRPr="008A6243" w:rsidRDefault="008A6243" w:rsidP="008A6243">
      <w:pPr>
        <w:numPr>
          <w:ilvl w:val="1"/>
          <w:numId w:val="21"/>
        </w:numPr>
        <w:spacing w:line="276" w:lineRule="auto"/>
      </w:pPr>
      <w:r w:rsidRPr="008A6243">
        <w:t>(1 p.) AFC</w:t>
      </w:r>
      <w:r w:rsidRPr="008A6243">
        <w:rPr>
          <w:vertAlign w:val="subscript"/>
        </w:rPr>
        <w:t>5</w:t>
      </w:r>
      <w:r w:rsidRPr="008A6243">
        <w:t xml:space="preserve"> =  60 : 5  = 12(eiro).</w:t>
      </w:r>
    </w:p>
    <w:p w:rsidR="008A6243" w:rsidRPr="008A6243" w:rsidRDefault="008A6243" w:rsidP="008A6243">
      <w:pPr>
        <w:numPr>
          <w:ilvl w:val="1"/>
          <w:numId w:val="21"/>
        </w:numPr>
        <w:spacing w:line="276" w:lineRule="auto"/>
      </w:pPr>
      <w:r w:rsidRPr="008A6243">
        <w:t>(1 p.) Turpināt, jo AVC (38,57) &lt; P (45).</w:t>
      </w:r>
    </w:p>
    <w:p w:rsidR="008A6243" w:rsidRPr="008A6243" w:rsidRDefault="008A6243" w:rsidP="008A6243">
      <w:pPr>
        <w:ind w:left="1440"/>
      </w:pPr>
      <w:r w:rsidRPr="008A6243">
        <w:t>Vai: turpināt, jo zaudējumi (-15 eiro) ir mazāki par  FC (60 eiro)</w:t>
      </w:r>
    </w:p>
    <w:p w:rsidR="008A6243" w:rsidRPr="008A6243" w:rsidRDefault="008A6243" w:rsidP="008A6243">
      <w:pPr>
        <w:ind w:left="1440"/>
      </w:pPr>
      <w:r w:rsidRPr="008A6243">
        <w:t>Vai: turpināt, jo VC &lt; TR</w:t>
      </w:r>
    </w:p>
    <w:p w:rsidR="008A6243" w:rsidRPr="008A6243" w:rsidRDefault="008A6243" w:rsidP="008A6243">
      <w:pPr>
        <w:ind w:left="1440"/>
      </w:pPr>
      <w:r w:rsidRPr="008A6243">
        <w:t>Vai: turpināt, jo AVC &lt; P &lt; ATC</w:t>
      </w:r>
    </w:p>
    <w:p w:rsidR="008A6243" w:rsidRPr="008A6243" w:rsidRDefault="008A6243" w:rsidP="008A6243">
      <w:pPr>
        <w:ind w:left="1440"/>
      </w:pPr>
      <w:r w:rsidRPr="008A6243">
        <w:t>Vai: turpināt, jo VC &lt; TR &lt; TC</w:t>
      </w:r>
    </w:p>
    <w:p w:rsidR="008A6243" w:rsidRPr="008A6243" w:rsidRDefault="008A6243" w:rsidP="008A6243">
      <w:pPr>
        <w:numPr>
          <w:ilvl w:val="1"/>
          <w:numId w:val="21"/>
        </w:numPr>
        <w:spacing w:line="276" w:lineRule="auto"/>
      </w:pPr>
      <w:r w:rsidRPr="008A6243">
        <w:t xml:space="preserve">(1 p.) Optimālais ražošanas apjoms: 7 preces vienības, jo teorijā uzskata, ka </w:t>
      </w:r>
      <w:proofErr w:type="spellStart"/>
      <w:r w:rsidRPr="008A6243">
        <w:t>Q</w:t>
      </w:r>
      <w:r w:rsidRPr="008A6243">
        <w:rPr>
          <w:vertAlign w:val="subscript"/>
        </w:rPr>
        <w:t>opt</w:t>
      </w:r>
      <w:proofErr w:type="spellEnd"/>
      <w:r w:rsidRPr="008A6243">
        <w:rPr>
          <w:vertAlign w:val="subscript"/>
        </w:rPr>
        <w:t>.</w:t>
      </w:r>
      <w:r w:rsidRPr="008A6243">
        <w:t xml:space="preserve"> nosacījums ir MR = MC. </w:t>
      </w:r>
    </w:p>
    <w:p w:rsidR="008A6243" w:rsidRPr="008A6243" w:rsidRDefault="008A6243" w:rsidP="008A6243">
      <w:pPr>
        <w:ind w:left="720"/>
      </w:pPr>
    </w:p>
    <w:p w:rsidR="008A6243" w:rsidRPr="008A6243" w:rsidRDefault="008A6243" w:rsidP="008A6243">
      <w:pPr>
        <w:ind w:left="720"/>
      </w:pPr>
      <w:r w:rsidRPr="008A6243">
        <w:br w:type="page"/>
      </w:r>
      <w:r w:rsidRPr="008A6243">
        <w:rPr>
          <w:b/>
        </w:rPr>
        <w:lastRenderedPageBreak/>
        <w:t xml:space="preserve">Situācijas analīze </w:t>
      </w:r>
      <w:r w:rsidRPr="008A6243">
        <w:t>(17 punkti).</w:t>
      </w:r>
    </w:p>
    <w:p w:rsidR="008A6243" w:rsidRPr="008A6243" w:rsidRDefault="008A6243" w:rsidP="008A6243">
      <w:pPr>
        <w:rPr>
          <w:b/>
        </w:rPr>
      </w:pPr>
      <w:r w:rsidRPr="008A6243">
        <w:rPr>
          <w:b/>
        </w:rPr>
        <w:t>Vērtēšanas kritēriji:</w:t>
      </w:r>
    </w:p>
    <w:p w:rsidR="008A6243" w:rsidRPr="008A6243" w:rsidRDefault="008A6243" w:rsidP="008A6243">
      <w:pPr>
        <w:numPr>
          <w:ilvl w:val="0"/>
          <w:numId w:val="27"/>
        </w:numPr>
        <w:spacing w:line="276" w:lineRule="auto"/>
      </w:pPr>
      <w:r w:rsidRPr="008A6243">
        <w:t>Precīzi atbildēts uz konkrēto jautājumu.</w:t>
      </w:r>
    </w:p>
    <w:p w:rsidR="008A6243" w:rsidRPr="008A6243" w:rsidRDefault="008A6243" w:rsidP="008A6243">
      <w:pPr>
        <w:numPr>
          <w:ilvl w:val="0"/>
          <w:numId w:val="27"/>
        </w:numPr>
        <w:spacing w:line="276" w:lineRule="auto"/>
      </w:pPr>
      <w:r w:rsidRPr="008A6243">
        <w:t>Tēzes pastiprinātas ar ekonomikas teorijas  argumentiem vai konkrētiem faktiem.</w:t>
      </w:r>
    </w:p>
    <w:p w:rsidR="008A6243" w:rsidRPr="008A6243" w:rsidRDefault="008A6243" w:rsidP="008A6243">
      <w:pPr>
        <w:numPr>
          <w:ilvl w:val="0"/>
          <w:numId w:val="27"/>
        </w:numPr>
        <w:spacing w:line="276" w:lineRule="auto"/>
      </w:pPr>
      <w:r w:rsidRPr="008A6243">
        <w:t xml:space="preserve">Korekti lietoti atbilstošie ekonomikas jēdzieni. </w:t>
      </w:r>
    </w:p>
    <w:p w:rsidR="008A6243" w:rsidRPr="008A6243" w:rsidRDefault="008A6243" w:rsidP="008A6243">
      <w:r w:rsidRPr="008A6243">
        <w:rPr>
          <w:b/>
        </w:rPr>
        <w:t>Iespējamās atbildes:</w:t>
      </w:r>
    </w:p>
    <w:p w:rsidR="008A6243" w:rsidRPr="008A6243" w:rsidRDefault="008A6243" w:rsidP="008A6243">
      <w:pPr>
        <w:numPr>
          <w:ilvl w:val="0"/>
          <w:numId w:val="20"/>
        </w:numPr>
        <w:spacing w:line="276" w:lineRule="auto"/>
      </w:pPr>
      <w:r w:rsidRPr="008A6243">
        <w:t xml:space="preserve"> (3 p.) Atbildes var būt dažādas. </w:t>
      </w:r>
    </w:p>
    <w:p w:rsidR="008A6243" w:rsidRPr="008A6243" w:rsidRDefault="008A6243" w:rsidP="008A6243">
      <w:pPr>
        <w:ind w:left="720" w:firstLine="720"/>
      </w:pPr>
      <w:r w:rsidRPr="008A6243">
        <w:t>Var pamatot ar starptautiskās ti</w:t>
      </w:r>
      <w:r>
        <w:t>r</w:t>
      </w:r>
      <w:r w:rsidRPr="008A6243">
        <w:t>dzniecības teorijām: absolūtās priekšrocības, salīdzināmās priekšrocības un citām starptautiskās tirdzniecības teorijām.</w:t>
      </w:r>
    </w:p>
    <w:p w:rsidR="008A6243" w:rsidRPr="008A6243" w:rsidRDefault="008A6243" w:rsidP="008A6243">
      <w:pPr>
        <w:ind w:left="720" w:firstLine="720"/>
      </w:pPr>
      <w:r w:rsidRPr="008A6243">
        <w:t xml:space="preserve">Var pamatot ar ieguvumiem no starptautiskās darba dalīšanas un specializācijas. </w:t>
      </w:r>
    </w:p>
    <w:p w:rsidR="008A6243" w:rsidRPr="008A6243" w:rsidRDefault="008A6243" w:rsidP="008A6243">
      <w:pPr>
        <w:ind w:left="720" w:firstLine="720"/>
      </w:pPr>
      <w:r w:rsidRPr="008A6243">
        <w:t xml:space="preserve">Var pamatot ar resursu (dabas resursu,  kapitāla,  naudas) efektīvāku izmantošanu.   </w:t>
      </w:r>
    </w:p>
    <w:p w:rsidR="008A6243" w:rsidRPr="008A6243" w:rsidRDefault="008A6243" w:rsidP="008A6243">
      <w:pPr>
        <w:numPr>
          <w:ilvl w:val="0"/>
          <w:numId w:val="20"/>
        </w:numPr>
        <w:spacing w:line="276" w:lineRule="auto"/>
      </w:pPr>
      <w:r w:rsidRPr="008A6243">
        <w:t>(3 p.) Atbildes var būt dažādas.</w:t>
      </w:r>
    </w:p>
    <w:p w:rsidR="008A6243" w:rsidRPr="008A6243" w:rsidRDefault="008A6243" w:rsidP="008A6243">
      <w:pPr>
        <w:ind w:left="720" w:firstLine="720"/>
      </w:pPr>
      <w:r w:rsidRPr="008A6243">
        <w:t xml:space="preserve">Uzņēmumi, kuriem ir absolūtā vai salīdzināmā priekšrocība iegūst iespēju palielināt ražošanu, paplašināt noieta tirgu, pārdot preces par augstākām cenām u.c.        </w:t>
      </w:r>
      <w:r w:rsidRPr="008A6243">
        <w:tab/>
      </w:r>
    </w:p>
    <w:p w:rsidR="008A6243" w:rsidRPr="008A6243" w:rsidRDefault="008A6243" w:rsidP="008A6243">
      <w:pPr>
        <w:ind w:left="720" w:firstLine="720"/>
      </w:pPr>
      <w:r w:rsidRPr="008A6243">
        <w:t xml:space="preserve">Arodbiedrības var palielināt nodarbināto skaitu; panākt lielāku darba samaksu, savu ietekmi  u.c. </w:t>
      </w:r>
    </w:p>
    <w:p w:rsidR="008A6243" w:rsidRPr="008A6243" w:rsidRDefault="008A6243" w:rsidP="008A6243">
      <w:pPr>
        <w:numPr>
          <w:ilvl w:val="0"/>
          <w:numId w:val="20"/>
        </w:numPr>
        <w:spacing w:line="276" w:lineRule="auto"/>
      </w:pPr>
      <w:r w:rsidRPr="008A6243">
        <w:t>(3 p.) Atbildes var būt dažādas.</w:t>
      </w:r>
    </w:p>
    <w:p w:rsidR="008A6243" w:rsidRPr="008A6243" w:rsidRDefault="008A6243" w:rsidP="008A6243">
      <w:pPr>
        <w:ind w:left="720" w:firstLine="720"/>
      </w:pPr>
      <w:r w:rsidRPr="008A6243">
        <w:t>Uzņēmumi protekcionismu visbiežāk pamato ar to, ka valstij ir jā</w:t>
      </w:r>
      <w:r>
        <w:t>a</w:t>
      </w:r>
      <w:r w:rsidRPr="008A6243">
        <w:t xml:space="preserve">tbalsta jaunas nozares; jauni uzņēmumi, kamēr tie “nostiprinās”, spēj konkurēt ar ārvalstu uzņēmumiem. Citi uzņēmumi pamato protekcionismu ar to, ka viņi nodrošina “valsts stratēģiskās intereses”, valsts ekonomisko neatkarību </w:t>
      </w:r>
      <w:proofErr w:type="spellStart"/>
      <w:r w:rsidRPr="008A6243">
        <w:t>u.c</w:t>
      </w:r>
      <w:proofErr w:type="spellEnd"/>
      <w:r w:rsidRPr="008A6243">
        <w:t xml:space="preserve">; </w:t>
      </w:r>
    </w:p>
    <w:p w:rsidR="008A6243" w:rsidRPr="008A6243" w:rsidRDefault="008A6243" w:rsidP="008A6243">
      <w:pPr>
        <w:ind w:left="720" w:firstLine="720"/>
      </w:pPr>
      <w:r w:rsidRPr="008A6243">
        <w:t xml:space="preserve">Arodbiedrības baidās zaudēt “darba vietas”; prasa aizsargāt tradicionālās un “valstiski svarīgās” jeb stratēģiskās nozares; nodrošināt pilnīgu nodarbinātību, “palīdzēt vienkāršai tautai”. </w:t>
      </w:r>
    </w:p>
    <w:p w:rsidR="008A6243" w:rsidRPr="008A6243" w:rsidRDefault="008A6243" w:rsidP="008A6243">
      <w:pPr>
        <w:numPr>
          <w:ilvl w:val="0"/>
          <w:numId w:val="20"/>
        </w:numPr>
        <w:spacing w:line="276" w:lineRule="auto"/>
      </w:pPr>
      <w:r w:rsidRPr="008A6243">
        <w:t>( 2 p.) Tāpēc, ka ASV ekonomikas apjoms ir ievērojami lielāks nekā citās valstīs. Tāpēc pat lielais eksporta apjoms sastāda nelielu īpatsvar</w:t>
      </w:r>
      <w:r>
        <w:t>u</w:t>
      </w:r>
      <w:r w:rsidRPr="008A6243">
        <w:t xml:space="preserve"> no ASV IKP. Ir liels iekšējais patēriņš, ko veicina liels iedzīvotāju īpatsvars ar augstiem ienākumiem</w:t>
      </w:r>
    </w:p>
    <w:p w:rsidR="008A6243" w:rsidRPr="008A6243" w:rsidRDefault="008A6243" w:rsidP="008A6243">
      <w:pPr>
        <w:numPr>
          <w:ilvl w:val="0"/>
          <w:numId w:val="20"/>
        </w:numPr>
        <w:spacing w:line="276" w:lineRule="auto"/>
      </w:pPr>
      <w:r w:rsidRPr="008A6243">
        <w:t xml:space="preserve"> (3 p.) Izskaidrojums ir atšķirīgās aprēķināšanas metodikās. IKP ieskaita tikai gala</w:t>
      </w:r>
      <w:r>
        <w:t xml:space="preserve"> </w:t>
      </w:r>
      <w:r w:rsidRPr="008A6243">
        <w:t>preču vērtību bez starpprodukta vērtības, bet eksportā visu preču vērtību. Turklāt eksporta preces cenā var iekļaut arī citus maksājumus: apdrošināšanu, nogādāšanu uz kuģa (FOB) vai  pat iekraušanu vagonā (FOR).</w:t>
      </w:r>
    </w:p>
    <w:p w:rsidR="008A6243" w:rsidRPr="008A6243" w:rsidRDefault="008A6243" w:rsidP="008A6243">
      <w:pPr>
        <w:ind w:left="1440"/>
      </w:pPr>
      <w:r w:rsidRPr="008A6243">
        <w:t>Dažu valstu statistikā eksporta vērtībā iekļauj arī reeksportu.</w:t>
      </w:r>
    </w:p>
    <w:p w:rsidR="008A6243" w:rsidRPr="008A6243" w:rsidRDefault="008A6243" w:rsidP="008A6243">
      <w:pPr>
        <w:ind w:left="720" w:firstLine="720"/>
      </w:pPr>
      <w:r w:rsidRPr="008A6243">
        <w:t>Teorētiski var pamatot arī ar to, ka valstī var būt liels eksports, bet vēl ievērojami lielāks imports. Negatīvs neto eksports, ievērojami samazina valsts IKP. Tad arī  teorētiski ir iespējama situācija, ka eksports var būt lielāks par IKP.</w:t>
      </w:r>
    </w:p>
    <w:p w:rsidR="008A6243" w:rsidRPr="008A6243" w:rsidRDefault="008A6243" w:rsidP="008A6243">
      <w:pPr>
        <w:numPr>
          <w:ilvl w:val="0"/>
          <w:numId w:val="20"/>
        </w:numPr>
        <w:spacing w:line="276" w:lineRule="auto"/>
      </w:pPr>
      <w:r w:rsidRPr="008A6243">
        <w:t>(3 p.) Atbildes var būt dažādas.</w:t>
      </w:r>
    </w:p>
    <w:p w:rsidR="008A6243" w:rsidRPr="008A6243" w:rsidRDefault="008A6243" w:rsidP="008A6243">
      <w:pPr>
        <w:ind w:left="720" w:firstLine="720"/>
      </w:pPr>
      <w:r w:rsidRPr="008A6243">
        <w:t>Dalībnieki var pamatot viedokli, ka reģionālās ekonomiskās organizācijas var veicināt starptautiskās ekonomiskās attiecības: nojaucot muitas barjeras, liberalizējot starptautisko tirdzniecību reģionā, veicinot dažādu valstu ekonomiku konverģenci, nodrošinot ne tikai brīvu preču, pakalpojumu kustību, bet arī darba, kapitāla, uzņēmējdarbības kustību, vienotu naudu , piemēram, eiro.</w:t>
      </w:r>
    </w:p>
    <w:p w:rsidR="008A6243" w:rsidRPr="008A6243" w:rsidRDefault="008A6243" w:rsidP="008A6243">
      <w:pPr>
        <w:ind w:left="720" w:firstLine="720"/>
      </w:pPr>
      <w:r w:rsidRPr="008A6243">
        <w:t xml:space="preserve"> Tajā pašā laikā ap reģionālām apvienībām ir “augsti žogi”, muitas barjeras trešo valstu precēm, pakalpojumiem,  kas kavē citu valstu preču, pakalpojumu, kapitāla , darbaspēka ieplūšanu un efektīvāku to izmantošanu. Dažkārt reģionālās organizācijas ievieš sankcijas pret treš</w:t>
      </w:r>
      <w:r>
        <w:t>aj</w:t>
      </w:r>
      <w:r w:rsidRPr="008A6243">
        <w:t>ām valstīm – tā ierobežojot starptautiskos darījumus.</w:t>
      </w:r>
    </w:p>
    <w:p w:rsidR="008A6243" w:rsidRPr="008A6243" w:rsidRDefault="008A6243" w:rsidP="008A6243"/>
    <w:p w:rsidR="00054859" w:rsidRPr="008A6243" w:rsidRDefault="00054859" w:rsidP="008A6243">
      <w:pPr>
        <w:jc w:val="center"/>
      </w:pPr>
    </w:p>
    <w:sectPr w:rsidR="00054859" w:rsidRPr="008A6243" w:rsidSect="000913B4">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79" w:rsidRDefault="00E97179" w:rsidP="00CF016C">
      <w:r>
        <w:separator/>
      </w:r>
    </w:p>
  </w:endnote>
  <w:endnote w:type="continuationSeparator" w:id="0">
    <w:p w:rsidR="00E97179" w:rsidRDefault="00E97179" w:rsidP="00C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C" w:rsidRPr="00E97676" w:rsidRDefault="00CF016C" w:rsidP="009577B0">
    <w:pPr>
      <w:pStyle w:val="Footer"/>
      <w:pBdr>
        <w:top w:val="single" w:sz="4" w:space="1" w:color="808080" w:themeColor="background1" w:themeShade="80"/>
      </w:pBdr>
      <w:rPr>
        <w:i/>
        <w:color w:val="808080" w:themeColor="background1" w:themeShade="80"/>
      </w:rPr>
    </w:pPr>
    <w:r w:rsidRPr="00E97676">
      <w:rPr>
        <w:i/>
        <w:color w:val="808080" w:themeColor="background1" w:themeShade="80"/>
      </w:rPr>
      <w:t>Ekonomikas valsts 1</w:t>
    </w:r>
    <w:r w:rsidR="009577B0">
      <w:rPr>
        <w:i/>
        <w:color w:val="808080" w:themeColor="background1" w:themeShade="80"/>
      </w:rPr>
      <w:t>9</w:t>
    </w:r>
    <w:r w:rsidRPr="00E97676">
      <w:rPr>
        <w:i/>
        <w:color w:val="808080" w:themeColor="background1" w:themeShade="80"/>
      </w:rPr>
      <w:t xml:space="preserve">. olimpiāde, 3.posms, </w:t>
    </w:r>
    <w:r w:rsidR="008A6243">
      <w:rPr>
        <w:i/>
        <w:color w:val="808080" w:themeColor="background1" w:themeShade="80"/>
      </w:rPr>
      <w:t>atbildes</w:t>
    </w:r>
    <w:r w:rsidRPr="00E97676">
      <w:rPr>
        <w:i/>
        <w:color w:val="808080" w:themeColor="background1" w:themeShade="80"/>
      </w:rPr>
      <w:tab/>
      <w:t>Rīgā, 0</w:t>
    </w:r>
    <w:r w:rsidR="009577B0">
      <w:rPr>
        <w:i/>
        <w:color w:val="808080" w:themeColor="background1" w:themeShade="80"/>
      </w:rPr>
      <w:t>7</w:t>
    </w:r>
    <w:r w:rsidRPr="00E97676">
      <w:rPr>
        <w:i/>
        <w:color w:val="808080" w:themeColor="background1" w:themeShade="80"/>
      </w:rPr>
      <w:t>.0</w:t>
    </w:r>
    <w:r w:rsidR="009577B0">
      <w:rPr>
        <w:i/>
        <w:color w:val="808080" w:themeColor="background1" w:themeShade="80"/>
      </w:rPr>
      <w:t>8</w:t>
    </w:r>
    <w:r w:rsidRPr="00E97676">
      <w:rPr>
        <w:i/>
        <w:color w:val="808080" w:themeColor="background1" w:themeShade="80"/>
      </w:rPr>
      <w:t>.201</w:t>
    </w:r>
    <w:r w:rsidR="009577B0">
      <w:rPr>
        <w:i/>
        <w:color w:val="808080" w:themeColor="background1" w:themeShade="80"/>
      </w:rPr>
      <w:t>8</w:t>
    </w:r>
    <w:r w:rsidRPr="00E97676">
      <w:rPr>
        <w:i/>
        <w:color w:val="808080" w:themeColor="background1" w:themeShade="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79" w:rsidRDefault="00E97179" w:rsidP="00CF016C">
      <w:r>
        <w:separator/>
      </w:r>
    </w:p>
  </w:footnote>
  <w:footnote w:type="continuationSeparator" w:id="0">
    <w:p w:rsidR="00E97179" w:rsidRDefault="00E97179" w:rsidP="00CF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A03"/>
    <w:multiLevelType w:val="hybridMultilevel"/>
    <w:tmpl w:val="F0B6283A"/>
    <w:lvl w:ilvl="0" w:tplc="5DA05F3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A64F8"/>
    <w:multiLevelType w:val="hybridMultilevel"/>
    <w:tmpl w:val="70D2BD3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903530"/>
    <w:multiLevelType w:val="hybridMultilevel"/>
    <w:tmpl w:val="BA9ED1F8"/>
    <w:lvl w:ilvl="0" w:tplc="6BE6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83F28"/>
    <w:multiLevelType w:val="hybridMultilevel"/>
    <w:tmpl w:val="056C7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62109"/>
    <w:multiLevelType w:val="hybridMultilevel"/>
    <w:tmpl w:val="AC467E22"/>
    <w:lvl w:ilvl="0" w:tplc="4670AD4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3922B3"/>
    <w:multiLevelType w:val="hybridMultilevel"/>
    <w:tmpl w:val="EACE783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B60F11"/>
    <w:multiLevelType w:val="hybridMultilevel"/>
    <w:tmpl w:val="976EC38E"/>
    <w:lvl w:ilvl="0" w:tplc="23A6F7A2">
      <w:start w:val="1500"/>
      <w:numFmt w:val="decimal"/>
      <w:lvlText w:val="%1"/>
      <w:lvlJc w:val="left"/>
      <w:pPr>
        <w:ind w:left="3480" w:hanging="60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25F5F89"/>
    <w:multiLevelType w:val="hybridMultilevel"/>
    <w:tmpl w:val="7DEC296E"/>
    <w:lvl w:ilvl="0" w:tplc="84C629B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13E78"/>
    <w:multiLevelType w:val="hybridMultilevel"/>
    <w:tmpl w:val="789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E33C3"/>
    <w:multiLevelType w:val="hybridMultilevel"/>
    <w:tmpl w:val="902A0668"/>
    <w:lvl w:ilvl="0" w:tplc="554C9B0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281557"/>
    <w:multiLevelType w:val="hybridMultilevel"/>
    <w:tmpl w:val="9036D3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30117D"/>
    <w:multiLevelType w:val="hybridMultilevel"/>
    <w:tmpl w:val="1996F53A"/>
    <w:lvl w:ilvl="0" w:tplc="0409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2">
    <w:nsid w:val="2FC25EAF"/>
    <w:multiLevelType w:val="hybridMultilevel"/>
    <w:tmpl w:val="253E1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B24937"/>
    <w:multiLevelType w:val="hybridMultilevel"/>
    <w:tmpl w:val="052CE07E"/>
    <w:lvl w:ilvl="0" w:tplc="35FEB7F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1C201A"/>
    <w:multiLevelType w:val="hybridMultilevel"/>
    <w:tmpl w:val="C8BEA74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6F1EB4"/>
    <w:multiLevelType w:val="hybridMultilevel"/>
    <w:tmpl w:val="F0B0387E"/>
    <w:lvl w:ilvl="0" w:tplc="B75CD48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9E610F6"/>
    <w:multiLevelType w:val="hybridMultilevel"/>
    <w:tmpl w:val="C8DAE8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AC33EC6"/>
    <w:multiLevelType w:val="hybridMultilevel"/>
    <w:tmpl w:val="1026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C630E"/>
    <w:multiLevelType w:val="hybridMultilevel"/>
    <w:tmpl w:val="E76E1F78"/>
    <w:lvl w:ilvl="0" w:tplc="C7C43CC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1F6D68"/>
    <w:multiLevelType w:val="multilevel"/>
    <w:tmpl w:val="2D44F7D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5ECF7A29"/>
    <w:multiLevelType w:val="hybridMultilevel"/>
    <w:tmpl w:val="FF305C3C"/>
    <w:lvl w:ilvl="0" w:tplc="FC0CED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197264"/>
    <w:multiLevelType w:val="hybridMultilevel"/>
    <w:tmpl w:val="56D82506"/>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E0C04B3"/>
    <w:multiLevelType w:val="hybridMultilevel"/>
    <w:tmpl w:val="F12837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E6465A"/>
    <w:multiLevelType w:val="hybridMultilevel"/>
    <w:tmpl w:val="D8026204"/>
    <w:lvl w:ilvl="0" w:tplc="FB881D42">
      <w:start w:val="1"/>
      <w:numFmt w:val="lowerLetter"/>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nsid w:val="7A2F3CFB"/>
    <w:multiLevelType w:val="hybridMultilevel"/>
    <w:tmpl w:val="D1D45B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E13F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9"/>
  </w:num>
  <w:num w:numId="3">
    <w:abstractNumId w:val="5"/>
  </w:num>
  <w:num w:numId="4">
    <w:abstractNumId w:val="3"/>
  </w:num>
  <w:num w:numId="5">
    <w:abstractNumId w:val="2"/>
  </w:num>
  <w:num w:numId="6">
    <w:abstractNumId w:val="17"/>
  </w:num>
  <w:num w:numId="7">
    <w:abstractNumId w:val="15"/>
  </w:num>
  <w:num w:numId="8">
    <w:abstractNumId w:val="11"/>
  </w:num>
  <w:num w:numId="9">
    <w:abstractNumId w:val="24"/>
  </w:num>
  <w:num w:numId="10">
    <w:abstractNumId w:val="1"/>
  </w:num>
  <w:num w:numId="11">
    <w:abstractNumId w:val="14"/>
  </w:num>
  <w:num w:numId="12">
    <w:abstractNumId w:val="16"/>
  </w:num>
  <w:num w:numId="13">
    <w:abstractNumId w:val="10"/>
  </w:num>
  <w:num w:numId="14">
    <w:abstractNumId w:val="22"/>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18"/>
  </w:num>
  <w:num w:numId="24">
    <w:abstractNumId w:val="4"/>
  </w:num>
  <w:num w:numId="25">
    <w:abstractNumId w:val="6"/>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D"/>
    <w:rsid w:val="00054859"/>
    <w:rsid w:val="000913B4"/>
    <w:rsid w:val="0010358B"/>
    <w:rsid w:val="0012614D"/>
    <w:rsid w:val="001979DB"/>
    <w:rsid w:val="0024734A"/>
    <w:rsid w:val="002D52F2"/>
    <w:rsid w:val="003E58BD"/>
    <w:rsid w:val="0044274D"/>
    <w:rsid w:val="005A3FA6"/>
    <w:rsid w:val="00630BEE"/>
    <w:rsid w:val="006A4D9C"/>
    <w:rsid w:val="006D0B9B"/>
    <w:rsid w:val="00700431"/>
    <w:rsid w:val="007942B4"/>
    <w:rsid w:val="007E4721"/>
    <w:rsid w:val="007F3C2D"/>
    <w:rsid w:val="008A6243"/>
    <w:rsid w:val="009577B0"/>
    <w:rsid w:val="00A80F37"/>
    <w:rsid w:val="00B131D6"/>
    <w:rsid w:val="00B66144"/>
    <w:rsid w:val="00CF016C"/>
    <w:rsid w:val="00D80608"/>
    <w:rsid w:val="00E0420E"/>
    <w:rsid w:val="00E6628C"/>
    <w:rsid w:val="00E97179"/>
    <w:rsid w:val="00E97604"/>
    <w:rsid w:val="00E97676"/>
    <w:rsid w:val="00F1268D"/>
    <w:rsid w:val="00F81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5251</Words>
  <Characters>2994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Mīļā</dc:creator>
  <cp:lastModifiedBy>Mārtiņš Danusēvičs</cp:lastModifiedBy>
  <cp:revision>4</cp:revision>
  <cp:lastPrinted>2018-03-07T10:05:00Z</cp:lastPrinted>
  <dcterms:created xsi:type="dcterms:W3CDTF">2018-03-23T13:30:00Z</dcterms:created>
  <dcterms:modified xsi:type="dcterms:W3CDTF">2018-03-23T13:30:00Z</dcterms:modified>
</cp:coreProperties>
</file>